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FA4B8" w14:textId="6D9329E4" w:rsidR="00361CBC" w:rsidRPr="00361CBC" w:rsidRDefault="00CE1DD6" w:rsidP="00361CBC">
      <w:pPr>
        <w:jc w:val="center"/>
        <w:rPr>
          <w:rFonts w:ascii="Times New Roman" w:hAnsi="Times New Roman" w:cs="Times New Roman"/>
          <w:b/>
          <w:lang w:val="en-US"/>
        </w:rPr>
      </w:pPr>
      <w:r>
        <w:rPr>
          <w:rFonts w:ascii="Times New Roman" w:hAnsi="Times New Roman" w:cs="Times New Roman"/>
          <w:b/>
          <w:lang w:val="en-US"/>
        </w:rPr>
        <w:t>CISG Advisory Council</w:t>
      </w:r>
    </w:p>
    <w:p w14:paraId="1BAF1118" w14:textId="3D8B9573" w:rsidR="00361CBC" w:rsidRPr="00361CBC" w:rsidRDefault="00CE1DD6" w:rsidP="00361CBC">
      <w:pPr>
        <w:jc w:val="center"/>
        <w:rPr>
          <w:rFonts w:ascii="Times New Roman" w:hAnsi="Times New Roman" w:cs="Times New Roman"/>
          <w:b/>
        </w:rPr>
      </w:pPr>
      <w:r>
        <w:rPr>
          <w:rFonts w:ascii="Times New Roman" w:hAnsi="Times New Roman" w:cs="Times New Roman"/>
          <w:b/>
        </w:rPr>
        <w:t xml:space="preserve">Opinion </w:t>
      </w:r>
      <w:proofErr w:type="spellStart"/>
      <w:r>
        <w:rPr>
          <w:rFonts w:ascii="Times New Roman" w:hAnsi="Times New Roman" w:cs="Times New Roman"/>
          <w:b/>
        </w:rPr>
        <w:t>No</w:t>
      </w:r>
      <w:proofErr w:type="spellEnd"/>
      <w:r>
        <w:rPr>
          <w:rFonts w:ascii="Times New Roman" w:hAnsi="Times New Roman" w:cs="Times New Roman"/>
          <w:b/>
        </w:rPr>
        <w:t>. 6</w:t>
      </w:r>
    </w:p>
    <w:p w14:paraId="262F8EED" w14:textId="16D29FE7" w:rsidR="00361CBC" w:rsidRDefault="00361CBC" w:rsidP="00361CBC">
      <w:pPr>
        <w:jc w:val="center"/>
        <w:rPr>
          <w:rFonts w:ascii="Times New Roman" w:hAnsi="Times New Roman" w:cs="Times New Roman"/>
          <w:b/>
        </w:rPr>
      </w:pPr>
      <w:r w:rsidRPr="00361CBC">
        <w:t xml:space="preserve"> </w:t>
      </w:r>
      <w:r w:rsidR="00CE1DD6">
        <w:rPr>
          <w:rFonts w:ascii="Times New Roman" w:hAnsi="Times New Roman" w:cs="Times New Roman"/>
          <w:b/>
        </w:rPr>
        <w:t>Berechnung des Schadenersatzes nach Artikel 74 CISG</w:t>
      </w:r>
      <w:r>
        <w:rPr>
          <w:rStyle w:val="Funotenzeichen"/>
          <w:rFonts w:ascii="Times New Roman" w:hAnsi="Times New Roman" w:cs="Times New Roman"/>
          <w:b/>
        </w:rPr>
        <w:footnoteReference w:id="1"/>
      </w:r>
    </w:p>
    <w:p w14:paraId="098ADF56" w14:textId="77777777" w:rsidR="00361CBC" w:rsidRDefault="00361CBC" w:rsidP="00361CBC">
      <w:pPr>
        <w:jc w:val="center"/>
        <w:rPr>
          <w:rFonts w:ascii="Times New Roman" w:hAnsi="Times New Roman" w:cs="Times New Roman"/>
          <w:b/>
        </w:rPr>
      </w:pPr>
    </w:p>
    <w:p w14:paraId="2FA6936D" w14:textId="274ED874" w:rsidR="00707E5E" w:rsidRDefault="00707E5E" w:rsidP="00707E5E">
      <w:pPr>
        <w:spacing w:line="240" w:lineRule="auto"/>
        <w:jc w:val="both"/>
        <w:rPr>
          <w:rFonts w:ascii="Times New Roman" w:hAnsi="Times New Roman" w:cs="Times New Roman"/>
          <w:i/>
        </w:rPr>
      </w:pPr>
      <w:r>
        <w:rPr>
          <w:rFonts w:ascii="Times New Roman" w:hAnsi="Times New Roman" w:cs="Times New Roman"/>
          <w:i/>
        </w:rPr>
        <w:t xml:space="preserve">Artikel </w:t>
      </w:r>
      <w:r w:rsidR="00CE1DD6">
        <w:rPr>
          <w:rFonts w:ascii="Times New Roman" w:hAnsi="Times New Roman" w:cs="Times New Roman"/>
          <w:i/>
        </w:rPr>
        <w:t>74 CISG</w:t>
      </w:r>
      <w:r w:rsidR="00361CBC" w:rsidRPr="00361CBC">
        <w:rPr>
          <w:rFonts w:ascii="Times New Roman" w:hAnsi="Times New Roman" w:cs="Times New Roman"/>
          <w:i/>
        </w:rPr>
        <w:t xml:space="preserve"> </w:t>
      </w:r>
      <w:r>
        <w:rPr>
          <w:rFonts w:ascii="Times New Roman" w:hAnsi="Times New Roman" w:cs="Times New Roman"/>
          <w:i/>
        </w:rPr>
        <w:sym w:font="Symbol" w:char="F05B"/>
      </w:r>
      <w:r w:rsidR="00CE1DD6">
        <w:rPr>
          <w:rFonts w:ascii="Times New Roman" w:hAnsi="Times New Roman" w:cs="Times New Roman"/>
          <w:i/>
        </w:rPr>
        <w:t>Umfang des Schadenersatzes</w:t>
      </w:r>
      <w:r>
        <w:rPr>
          <w:rFonts w:ascii="Times New Roman" w:hAnsi="Times New Roman" w:cs="Times New Roman"/>
          <w:i/>
        </w:rPr>
        <w:sym w:font="Symbol" w:char="F05D"/>
      </w:r>
      <w:r>
        <w:rPr>
          <w:rFonts w:ascii="Times New Roman" w:hAnsi="Times New Roman" w:cs="Times New Roman"/>
          <w:i/>
        </w:rPr>
        <w:t xml:space="preserve"> </w:t>
      </w:r>
      <w:r>
        <w:rPr>
          <w:rStyle w:val="Funotenzeichen"/>
          <w:rFonts w:ascii="Times New Roman" w:hAnsi="Times New Roman" w:cs="Times New Roman"/>
          <w:i/>
        </w:rPr>
        <w:footnoteReference w:id="2"/>
      </w:r>
    </w:p>
    <w:p w14:paraId="2A23AB2A" w14:textId="4450625D" w:rsidR="00361CBC" w:rsidRDefault="00CE1DD6" w:rsidP="00361CBC">
      <w:pPr>
        <w:spacing w:after="0"/>
        <w:jc w:val="both"/>
        <w:rPr>
          <w:rFonts w:ascii="Times New Roman" w:hAnsi="Times New Roman" w:cs="Times New Roman"/>
          <w:i/>
        </w:rPr>
      </w:pPr>
      <w:r>
        <w:rPr>
          <w:rFonts w:ascii="Times New Roman" w:hAnsi="Times New Roman" w:cs="Times New Roman"/>
          <w:i/>
        </w:rPr>
        <w:t>Als Schadenersatz für die durch eine Partei begangene Vertragsverletzung ist der der anderen Partei infolge der Vertragsverletzung entstandene Verlust, einschließlich des entgangenen Gewinns, zu ersetzen. Dieser Schadenersatz darf jedoch den Verlust nicht übersteigen, den die vertragsbrüchige Partei bei Vertragsabschluss als mögliche Folge der Vertragsverletzung vorausgesehen hat oder unter Berücksichtigung der Umstände, die sie kannte oder kennen musste, hätte voraussehen müssen.</w:t>
      </w:r>
    </w:p>
    <w:p w14:paraId="7F24DD72" w14:textId="77777777" w:rsidR="00CE1DD6" w:rsidRDefault="00CE1DD6" w:rsidP="00361CBC">
      <w:pPr>
        <w:spacing w:after="0"/>
        <w:jc w:val="both"/>
        <w:rPr>
          <w:rFonts w:ascii="Times New Roman" w:hAnsi="Times New Roman" w:cs="Times New Roman"/>
          <w:i/>
        </w:rPr>
      </w:pPr>
    </w:p>
    <w:p w14:paraId="356A2AEC" w14:textId="77777777" w:rsidR="00361CBC" w:rsidRPr="00361CBC" w:rsidRDefault="00361CBC" w:rsidP="00361CBC">
      <w:pPr>
        <w:spacing w:after="0"/>
        <w:jc w:val="center"/>
        <w:rPr>
          <w:rFonts w:ascii="Times New Roman" w:hAnsi="Times New Roman" w:cs="Times New Roman"/>
          <w:b/>
        </w:rPr>
      </w:pPr>
      <w:r>
        <w:rPr>
          <w:rFonts w:ascii="Times New Roman" w:hAnsi="Times New Roman" w:cs="Times New Roman"/>
          <w:b/>
        </w:rPr>
        <w:t>OPINION</w:t>
      </w:r>
    </w:p>
    <w:p w14:paraId="44FD7035" w14:textId="77777777" w:rsidR="00361CBC" w:rsidRPr="00361CBC" w:rsidRDefault="00361CBC" w:rsidP="00361CBC">
      <w:pPr>
        <w:spacing w:after="0"/>
        <w:jc w:val="both"/>
        <w:rPr>
          <w:rFonts w:ascii="Times New Roman" w:hAnsi="Times New Roman" w:cs="Times New Roman"/>
          <w:i/>
        </w:rPr>
      </w:pPr>
    </w:p>
    <w:p w14:paraId="49C67E3D" w14:textId="066F0B56" w:rsidR="00707E5E" w:rsidRDefault="00CE1DD6" w:rsidP="00707E5E">
      <w:pPr>
        <w:pStyle w:val="Listenabsatz"/>
        <w:numPr>
          <w:ilvl w:val="0"/>
          <w:numId w:val="1"/>
        </w:numPr>
        <w:spacing w:line="240" w:lineRule="auto"/>
        <w:ind w:hanging="578"/>
        <w:jc w:val="both"/>
        <w:rPr>
          <w:rFonts w:ascii="Times New Roman" w:hAnsi="Times New Roman" w:cs="Times New Roman"/>
          <w:b/>
        </w:rPr>
      </w:pPr>
      <w:r>
        <w:rPr>
          <w:rFonts w:ascii="Times New Roman" w:hAnsi="Times New Roman" w:cs="Times New Roman"/>
          <w:b/>
        </w:rPr>
        <w:t>In Artikel 74 kommt der allgemeine Grundsatz des vollständigen Schadensausgleichs (Totalreparation) zum Ausdruck.</w:t>
      </w:r>
    </w:p>
    <w:p w14:paraId="5EE5D3F5" w14:textId="77777777" w:rsidR="00707E5E" w:rsidRPr="00707E5E" w:rsidRDefault="00707E5E" w:rsidP="00707E5E">
      <w:pPr>
        <w:pStyle w:val="Listenabsatz"/>
        <w:spacing w:line="240" w:lineRule="auto"/>
        <w:jc w:val="both"/>
        <w:rPr>
          <w:rFonts w:ascii="Times New Roman" w:hAnsi="Times New Roman" w:cs="Times New Roman"/>
          <w:b/>
        </w:rPr>
      </w:pPr>
    </w:p>
    <w:p w14:paraId="32014A20" w14:textId="5F6EEC54" w:rsidR="00707E5E" w:rsidRDefault="00CE1DD6"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Die benachteiligte Partei hat mit hinreichender Bestimmtheit zu beweisen, dass ihr ein Schaden entstanden ist. Darüber hinaus hat die benachteiligte Partei auch den Umfang des Schadens zu beweisen, jedoch nicht mit mathematischer Genauigkeit.</w:t>
      </w:r>
    </w:p>
    <w:p w14:paraId="76858B95" w14:textId="77777777" w:rsidR="00707E5E" w:rsidRPr="00707E5E" w:rsidRDefault="00707E5E" w:rsidP="00707E5E">
      <w:pPr>
        <w:spacing w:after="0" w:line="240" w:lineRule="auto"/>
        <w:jc w:val="both"/>
        <w:rPr>
          <w:rFonts w:ascii="Times New Roman" w:hAnsi="Times New Roman" w:cs="Times New Roman"/>
          <w:b/>
        </w:rPr>
      </w:pPr>
    </w:p>
    <w:p w14:paraId="1CAF733C" w14:textId="2BFAAE5F" w:rsidR="00CE1DD6" w:rsidRDefault="00CE1DD6" w:rsidP="00CE1DD6">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 xml:space="preserve">Die benachteiligte Partei hat Anspruch auf Schadenersatz wegen Nichterfüllung, dessen Höhe sich </w:t>
      </w:r>
      <w:proofErr w:type="spellStart"/>
      <w:r>
        <w:rPr>
          <w:rFonts w:ascii="Times New Roman" w:hAnsi="Times New Roman" w:cs="Times New Roman"/>
          <w:b/>
        </w:rPr>
        <w:t>regelmässig</w:t>
      </w:r>
      <w:proofErr w:type="spellEnd"/>
      <w:r>
        <w:rPr>
          <w:rFonts w:ascii="Times New Roman" w:hAnsi="Times New Roman" w:cs="Times New Roman"/>
          <w:b/>
        </w:rPr>
        <w:t xml:space="preserve"> nach dem Marktwert des Vorteils richtet, welcher der geschädigten Partei infolge der Vertragsverletzung entgangen ist, oder nach den Kosten für angemessene </w:t>
      </w:r>
      <w:proofErr w:type="spellStart"/>
      <w:r>
        <w:rPr>
          <w:rFonts w:ascii="Times New Roman" w:hAnsi="Times New Roman" w:cs="Times New Roman"/>
          <w:b/>
        </w:rPr>
        <w:t>Massnahmen</w:t>
      </w:r>
      <w:proofErr w:type="spellEnd"/>
      <w:r>
        <w:rPr>
          <w:rFonts w:ascii="Times New Roman" w:hAnsi="Times New Roman" w:cs="Times New Roman"/>
          <w:b/>
        </w:rPr>
        <w:t xml:space="preserve">, die erforderlich sind, um einen der </w:t>
      </w:r>
      <w:proofErr w:type="spellStart"/>
      <w:r>
        <w:rPr>
          <w:rFonts w:ascii="Times New Roman" w:hAnsi="Times New Roman" w:cs="Times New Roman"/>
          <w:b/>
        </w:rPr>
        <w:t>ordnungsgemässen</w:t>
      </w:r>
      <w:proofErr w:type="spellEnd"/>
      <w:r>
        <w:rPr>
          <w:rFonts w:ascii="Times New Roman" w:hAnsi="Times New Roman" w:cs="Times New Roman"/>
          <w:b/>
        </w:rPr>
        <w:t xml:space="preserve"> Erfüllung des Vertrags entsprechenden Zustand herbeizuführen.</w:t>
      </w:r>
    </w:p>
    <w:p w14:paraId="6195975F" w14:textId="77777777" w:rsidR="00CE1DD6" w:rsidRPr="00CE1DD6" w:rsidRDefault="00CE1DD6" w:rsidP="00CE1DD6">
      <w:pPr>
        <w:spacing w:after="0" w:line="240" w:lineRule="auto"/>
        <w:jc w:val="both"/>
        <w:rPr>
          <w:rFonts w:ascii="Times New Roman" w:hAnsi="Times New Roman" w:cs="Times New Roman"/>
          <w:b/>
        </w:rPr>
      </w:pPr>
    </w:p>
    <w:p w14:paraId="4B003246" w14:textId="626ED7B4" w:rsidR="00CE1DD6" w:rsidRDefault="00CE1DD6" w:rsidP="00CE1DD6">
      <w:pPr>
        <w:pStyle w:val="Listenabsatz"/>
        <w:numPr>
          <w:ilvl w:val="0"/>
          <w:numId w:val="14"/>
        </w:numPr>
        <w:spacing w:after="0" w:line="240" w:lineRule="auto"/>
        <w:jc w:val="both"/>
        <w:rPr>
          <w:rFonts w:ascii="Times New Roman" w:hAnsi="Times New Roman" w:cs="Times New Roman"/>
          <w:b/>
        </w:rPr>
      </w:pPr>
      <w:r>
        <w:rPr>
          <w:rFonts w:ascii="Times New Roman" w:hAnsi="Times New Roman" w:cs="Times New Roman"/>
          <w:b/>
        </w:rPr>
        <w:t>Die benachteiligte Partei hat Anspruch auf Ersatz des Nettogewinns, der ihr durch die Vertragsverletzung entgangen ist.</w:t>
      </w:r>
    </w:p>
    <w:p w14:paraId="69CEF186" w14:textId="77777777" w:rsidR="00CE1DD6" w:rsidRDefault="00CE1DD6" w:rsidP="00CE1DD6">
      <w:pPr>
        <w:pStyle w:val="Listenabsatz"/>
        <w:spacing w:after="0" w:line="240" w:lineRule="auto"/>
        <w:ind w:left="1080"/>
        <w:jc w:val="both"/>
        <w:rPr>
          <w:rFonts w:ascii="Times New Roman" w:hAnsi="Times New Roman" w:cs="Times New Roman"/>
          <w:b/>
        </w:rPr>
      </w:pPr>
    </w:p>
    <w:p w14:paraId="143C2547" w14:textId="07E6E00C" w:rsidR="00CE1DD6" w:rsidRDefault="00CE1DD6" w:rsidP="00CE1DD6">
      <w:pPr>
        <w:pStyle w:val="Listenabsatz"/>
        <w:numPr>
          <w:ilvl w:val="0"/>
          <w:numId w:val="14"/>
        </w:numPr>
        <w:spacing w:after="0" w:line="240" w:lineRule="auto"/>
        <w:jc w:val="both"/>
        <w:rPr>
          <w:rFonts w:ascii="Times New Roman" w:hAnsi="Times New Roman" w:cs="Times New Roman"/>
          <w:b/>
        </w:rPr>
      </w:pPr>
      <w:r>
        <w:rPr>
          <w:rFonts w:ascii="Times New Roman" w:hAnsi="Times New Roman" w:cs="Times New Roman"/>
          <w:b/>
        </w:rPr>
        <w:t>Der entgangene Gewinn, der nach Artikel 74 ersatzfähig ist, umfasst gegebenenfalls auch den für den Zeitraum nach der Schadensfestsetzung durch einen Spruchkörper zu erwartenden zukünftigen Gewinn.</w:t>
      </w:r>
    </w:p>
    <w:p w14:paraId="5DE846CD" w14:textId="77777777" w:rsidR="00CE1DD6" w:rsidRPr="00CE1DD6" w:rsidRDefault="00CE1DD6" w:rsidP="00CE1DD6">
      <w:pPr>
        <w:spacing w:after="0" w:line="240" w:lineRule="auto"/>
        <w:jc w:val="both"/>
        <w:rPr>
          <w:rFonts w:ascii="Times New Roman" w:hAnsi="Times New Roman" w:cs="Times New Roman"/>
          <w:b/>
        </w:rPr>
      </w:pPr>
    </w:p>
    <w:p w14:paraId="3F2DDF9C" w14:textId="5FC6BB7B" w:rsidR="00CE1DD6" w:rsidRPr="00CE1DD6" w:rsidRDefault="00CE1DD6" w:rsidP="00CE1DD6">
      <w:pPr>
        <w:pStyle w:val="Listenabsatz"/>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Der entgangene Gewinn beinhaltet den Gewinn aus weiteren Geschäften, die der Gläubiger bei </w:t>
      </w:r>
      <w:proofErr w:type="spellStart"/>
      <w:r>
        <w:rPr>
          <w:rFonts w:ascii="Times New Roman" w:hAnsi="Times New Roman" w:cs="Times New Roman"/>
          <w:b/>
        </w:rPr>
        <w:t>ordnungsgemässer</w:t>
      </w:r>
      <w:proofErr w:type="spellEnd"/>
      <w:r>
        <w:rPr>
          <w:rFonts w:ascii="Times New Roman" w:hAnsi="Times New Roman" w:cs="Times New Roman"/>
          <w:b/>
        </w:rPr>
        <w:t xml:space="preserve"> Erfüllung des Vertrags zusätzlich hätte tätigen können (sog. lost </w:t>
      </w:r>
      <w:proofErr w:type="spellStart"/>
      <w:r>
        <w:rPr>
          <w:rFonts w:ascii="Times New Roman" w:hAnsi="Times New Roman" w:cs="Times New Roman"/>
          <w:b/>
        </w:rPr>
        <w:t>volume</w:t>
      </w:r>
      <w:proofErr w:type="spellEnd"/>
      <w:r>
        <w:rPr>
          <w:rFonts w:ascii="Times New Roman" w:hAnsi="Times New Roman" w:cs="Times New Roman"/>
          <w:b/>
        </w:rPr>
        <w:t xml:space="preserve"> </w:t>
      </w:r>
      <w:proofErr w:type="spellStart"/>
      <w:r>
        <w:rPr>
          <w:rFonts w:ascii="Times New Roman" w:hAnsi="Times New Roman" w:cs="Times New Roman"/>
          <w:b/>
        </w:rPr>
        <w:t>sales</w:t>
      </w:r>
      <w:proofErr w:type="spellEnd"/>
      <w:r>
        <w:rPr>
          <w:rFonts w:ascii="Times New Roman" w:hAnsi="Times New Roman" w:cs="Times New Roman"/>
          <w:b/>
        </w:rPr>
        <w:t>).</w:t>
      </w:r>
    </w:p>
    <w:p w14:paraId="0F98845F" w14:textId="77777777" w:rsidR="00707E5E" w:rsidRPr="00707E5E" w:rsidRDefault="00707E5E" w:rsidP="00707E5E">
      <w:pPr>
        <w:spacing w:after="0" w:line="240" w:lineRule="auto"/>
        <w:jc w:val="both"/>
        <w:rPr>
          <w:rFonts w:ascii="Times New Roman" w:hAnsi="Times New Roman" w:cs="Times New Roman"/>
          <w:b/>
        </w:rPr>
      </w:pPr>
    </w:p>
    <w:p w14:paraId="691AF405" w14:textId="2BE2C445" w:rsidR="005605C4" w:rsidRDefault="00CE1DD6"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 xml:space="preserve">Die benachteiligte Partei hat Anspruch auf Erstattung vernünftiger Kosten, die ihr aufgrund der Vertragsverletzung und der </w:t>
      </w:r>
      <w:proofErr w:type="spellStart"/>
      <w:r>
        <w:rPr>
          <w:rFonts w:ascii="Times New Roman" w:hAnsi="Times New Roman" w:cs="Times New Roman"/>
          <w:b/>
        </w:rPr>
        <w:t>Massnahmen</w:t>
      </w:r>
      <w:proofErr w:type="spellEnd"/>
      <w:r>
        <w:rPr>
          <w:rFonts w:ascii="Times New Roman" w:hAnsi="Times New Roman" w:cs="Times New Roman"/>
          <w:b/>
        </w:rPr>
        <w:t xml:space="preserve"> zur Schadensminderung zusätzlich entstanden sind.</w:t>
      </w:r>
    </w:p>
    <w:p w14:paraId="10D46119" w14:textId="77777777" w:rsidR="00CE1DD6" w:rsidRDefault="00CE1DD6" w:rsidP="00CE1DD6">
      <w:pPr>
        <w:pStyle w:val="Listenabsatz"/>
        <w:spacing w:after="0" w:line="240" w:lineRule="auto"/>
        <w:jc w:val="both"/>
        <w:rPr>
          <w:rFonts w:ascii="Times New Roman" w:hAnsi="Times New Roman" w:cs="Times New Roman"/>
          <w:b/>
        </w:rPr>
      </w:pPr>
    </w:p>
    <w:p w14:paraId="4213E8BD" w14:textId="3E9DB122" w:rsidR="00CE1DD6" w:rsidRDefault="00CE1DD6"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lastRenderedPageBreak/>
        <w:t>Die benachteiligte Partei kann im Rahmen von Artikel 74 nicht die Erstattung von Verfahrenskosten geltend machen.</w:t>
      </w:r>
    </w:p>
    <w:p w14:paraId="4A1056E8" w14:textId="77777777" w:rsidR="00707E5E" w:rsidRPr="00707E5E" w:rsidRDefault="00707E5E" w:rsidP="00707E5E">
      <w:pPr>
        <w:spacing w:after="0" w:line="240" w:lineRule="auto"/>
        <w:jc w:val="both"/>
        <w:rPr>
          <w:rFonts w:ascii="Times New Roman" w:hAnsi="Times New Roman" w:cs="Times New Roman"/>
          <w:b/>
        </w:rPr>
      </w:pPr>
    </w:p>
    <w:p w14:paraId="6FE2DC1E" w14:textId="5BCFEA3C" w:rsidR="00707E5E" w:rsidRDefault="00707E5E"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D</w:t>
      </w:r>
      <w:r w:rsidR="00CE1DD6">
        <w:rPr>
          <w:rFonts w:ascii="Times New Roman" w:hAnsi="Times New Roman" w:cs="Times New Roman"/>
          <w:b/>
        </w:rPr>
        <w:t>ie benachteiligte Partei hat Anspruch auf Ersatz des Vermögensschadens, der ihr aufgrund von Ansprüchen Dritter wegen der Vertragsverletzung entsteht.</w:t>
      </w:r>
    </w:p>
    <w:p w14:paraId="5259F0B7" w14:textId="77777777" w:rsidR="00CE1DD6" w:rsidRPr="00CE1DD6" w:rsidRDefault="00CE1DD6" w:rsidP="00CE1DD6">
      <w:pPr>
        <w:spacing w:after="0" w:line="240" w:lineRule="auto"/>
        <w:jc w:val="both"/>
        <w:rPr>
          <w:rFonts w:ascii="Times New Roman" w:hAnsi="Times New Roman" w:cs="Times New Roman"/>
          <w:b/>
        </w:rPr>
      </w:pPr>
    </w:p>
    <w:p w14:paraId="4EEC56EF" w14:textId="7CD5E485" w:rsidR="00CE1DD6" w:rsidRDefault="00CE1DD6"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 xml:space="preserve">Die benachteiligte Partei hat Anspruch auf Schadenersatz für den infolge der Vertragsverletzung eingetretenen Verlust des geschäftlichen Ansehens (sog. </w:t>
      </w:r>
      <w:proofErr w:type="spellStart"/>
      <w:r>
        <w:rPr>
          <w:rFonts w:ascii="Times New Roman" w:hAnsi="Times New Roman" w:cs="Times New Roman"/>
          <w:b/>
        </w:rPr>
        <w:t>good</w:t>
      </w:r>
      <w:proofErr w:type="spellEnd"/>
      <w:r>
        <w:rPr>
          <w:rFonts w:ascii="Times New Roman" w:hAnsi="Times New Roman" w:cs="Times New Roman"/>
          <w:b/>
        </w:rPr>
        <w:t xml:space="preserve"> will).</w:t>
      </w:r>
    </w:p>
    <w:p w14:paraId="6D2362EE" w14:textId="77777777" w:rsidR="00707E5E" w:rsidRPr="00707E5E" w:rsidRDefault="00707E5E" w:rsidP="00707E5E">
      <w:pPr>
        <w:spacing w:after="0" w:line="240" w:lineRule="auto"/>
        <w:jc w:val="both"/>
        <w:rPr>
          <w:rFonts w:ascii="Times New Roman" w:hAnsi="Times New Roman" w:cs="Times New Roman"/>
          <w:b/>
        </w:rPr>
      </w:pPr>
    </w:p>
    <w:p w14:paraId="0197445E" w14:textId="4E00F769" w:rsidR="00707E5E" w:rsidRPr="00707E5E" w:rsidRDefault="00CE1DD6" w:rsidP="00707E5E">
      <w:pPr>
        <w:pStyle w:val="Listenabsatz"/>
        <w:numPr>
          <w:ilvl w:val="0"/>
          <w:numId w:val="1"/>
        </w:numPr>
        <w:spacing w:after="0" w:line="240" w:lineRule="auto"/>
        <w:ind w:hanging="578"/>
        <w:jc w:val="both"/>
        <w:rPr>
          <w:rFonts w:ascii="Times New Roman" w:hAnsi="Times New Roman" w:cs="Times New Roman"/>
        </w:rPr>
      </w:pPr>
      <w:r>
        <w:rPr>
          <w:rFonts w:ascii="Times New Roman" w:hAnsi="Times New Roman" w:cs="Times New Roman"/>
          <w:b/>
        </w:rPr>
        <w:t>Wenn die benachteiligte Partei im Falle einer Vertragsverletzung ein angemessenes Deckungsgeschäft abschließt, ohne vorher den Vertrag aufgehoben zu haben, kann sie Schadenersatz nach Artikel 74, nämlich in Höhe der Differenz zwischen dem vertraglich geschuldeten und dem Preis für das Deckungsgeschäft verlangen.</w:t>
      </w:r>
    </w:p>
    <w:p w14:paraId="23268006" w14:textId="77777777" w:rsidR="00707E5E" w:rsidRPr="00707E5E" w:rsidRDefault="00707E5E" w:rsidP="00707E5E">
      <w:pPr>
        <w:spacing w:after="0" w:line="240" w:lineRule="auto"/>
        <w:jc w:val="both"/>
        <w:rPr>
          <w:rFonts w:ascii="Times New Roman" w:hAnsi="Times New Roman" w:cs="Times New Roman"/>
          <w:b/>
        </w:rPr>
      </w:pPr>
    </w:p>
    <w:p w14:paraId="170A30AA" w14:textId="48BE9D0B" w:rsidR="00707E5E" w:rsidRDefault="00CE1DD6" w:rsidP="00707E5E">
      <w:pPr>
        <w:pStyle w:val="Listenabsatz"/>
        <w:numPr>
          <w:ilvl w:val="0"/>
          <w:numId w:val="1"/>
        </w:numPr>
        <w:spacing w:after="0" w:line="240" w:lineRule="auto"/>
        <w:ind w:hanging="578"/>
        <w:jc w:val="both"/>
        <w:rPr>
          <w:rFonts w:ascii="Times New Roman" w:hAnsi="Times New Roman" w:cs="Times New Roman"/>
          <w:b/>
        </w:rPr>
      </w:pPr>
      <w:r>
        <w:rPr>
          <w:rFonts w:ascii="Times New Roman" w:hAnsi="Times New Roman" w:cs="Times New Roman"/>
          <w:b/>
        </w:rPr>
        <w:t xml:space="preserve">Die benachteiligte Partei darf durch Schadenersatzleistungen nicht bessergestellt werden als sie stünde, wenn der Vertrag </w:t>
      </w:r>
      <w:proofErr w:type="spellStart"/>
      <w:r>
        <w:rPr>
          <w:rFonts w:ascii="Times New Roman" w:hAnsi="Times New Roman" w:cs="Times New Roman"/>
          <w:b/>
        </w:rPr>
        <w:t>ordnungsgemäss</w:t>
      </w:r>
      <w:proofErr w:type="spellEnd"/>
      <w:r>
        <w:rPr>
          <w:rFonts w:ascii="Times New Roman" w:hAnsi="Times New Roman" w:cs="Times New Roman"/>
          <w:b/>
        </w:rPr>
        <w:t xml:space="preserve"> erfüllt worden wäre.</w:t>
      </w:r>
    </w:p>
    <w:p w14:paraId="1ACA1A1B" w14:textId="77777777" w:rsidR="00CE1DD6" w:rsidRPr="00CE1DD6" w:rsidRDefault="00CE1DD6" w:rsidP="00CE1DD6">
      <w:pPr>
        <w:spacing w:after="0" w:line="240" w:lineRule="auto"/>
        <w:jc w:val="both"/>
        <w:rPr>
          <w:rFonts w:ascii="Times New Roman" w:hAnsi="Times New Roman" w:cs="Times New Roman"/>
          <w:b/>
        </w:rPr>
      </w:pPr>
    </w:p>
    <w:p w14:paraId="34BE90CF" w14:textId="00BD0422" w:rsidR="00CE1DD6" w:rsidRDefault="00CE1DD6" w:rsidP="00CE1DD6">
      <w:pPr>
        <w:pStyle w:val="Listenabsatz"/>
        <w:numPr>
          <w:ilvl w:val="0"/>
          <w:numId w:val="15"/>
        </w:numPr>
        <w:spacing w:after="0" w:line="240" w:lineRule="auto"/>
        <w:jc w:val="both"/>
        <w:rPr>
          <w:rFonts w:ascii="Times New Roman" w:hAnsi="Times New Roman" w:cs="Times New Roman"/>
          <w:b/>
        </w:rPr>
      </w:pPr>
      <w:r>
        <w:rPr>
          <w:rFonts w:ascii="Times New Roman" w:hAnsi="Times New Roman" w:cs="Times New Roman"/>
          <w:b/>
        </w:rPr>
        <w:t>Bei der Berechnung des Schadenersatzes, der der benachteiligten Partei geschuldet ist, ist grundsätzlich jeder Vorteil anzurechnen, welcher der benachteiligten Partei aus der Nichterfüllung des Vertrags erwachsen ist.</w:t>
      </w:r>
    </w:p>
    <w:p w14:paraId="1E7BD761" w14:textId="77777777" w:rsidR="00CE1DD6" w:rsidRDefault="00CE1DD6" w:rsidP="00CE1DD6">
      <w:pPr>
        <w:pStyle w:val="Listenabsatz"/>
        <w:spacing w:after="0" w:line="240" w:lineRule="auto"/>
        <w:ind w:left="1080"/>
        <w:jc w:val="both"/>
        <w:rPr>
          <w:rFonts w:ascii="Times New Roman" w:hAnsi="Times New Roman" w:cs="Times New Roman"/>
          <w:b/>
        </w:rPr>
      </w:pPr>
    </w:p>
    <w:p w14:paraId="0E35F25E" w14:textId="49D822F6" w:rsidR="00707E5E" w:rsidRPr="00CE1DD6" w:rsidRDefault="00CE1DD6" w:rsidP="00CE1DD6">
      <w:pPr>
        <w:pStyle w:val="Listenabsatz"/>
        <w:numPr>
          <w:ilvl w:val="0"/>
          <w:numId w:val="15"/>
        </w:numPr>
        <w:spacing w:after="0" w:line="240" w:lineRule="auto"/>
        <w:jc w:val="both"/>
        <w:rPr>
          <w:rFonts w:ascii="Times New Roman" w:hAnsi="Times New Roman" w:cs="Times New Roman"/>
          <w:b/>
        </w:rPr>
      </w:pPr>
      <w:r>
        <w:rPr>
          <w:rFonts w:ascii="Times New Roman" w:hAnsi="Times New Roman" w:cs="Times New Roman"/>
          <w:b/>
        </w:rPr>
        <w:t>Strafschadenersatz kann nach Artikel 74 des Übereinkommens nicht zugesprochen werden.</w:t>
      </w:r>
    </w:p>
    <w:sectPr w:rsidR="00707E5E" w:rsidRPr="00CE1DD6" w:rsidSect="00305902">
      <w:footnotePr>
        <w:numFmt w:val="chicago"/>
      </w:footnotePr>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C479" w14:textId="77777777" w:rsidR="00270A8E" w:rsidRDefault="00270A8E" w:rsidP="00361CBC">
      <w:pPr>
        <w:spacing w:after="0" w:line="240" w:lineRule="auto"/>
      </w:pPr>
      <w:r>
        <w:separator/>
      </w:r>
    </w:p>
  </w:endnote>
  <w:endnote w:type="continuationSeparator" w:id="0">
    <w:p w14:paraId="1ACAEDE0" w14:textId="77777777" w:rsidR="00270A8E" w:rsidRDefault="00270A8E" w:rsidP="00361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63EC55" w14:textId="77777777" w:rsidR="00270A8E" w:rsidRDefault="00270A8E" w:rsidP="00361CBC">
      <w:pPr>
        <w:spacing w:after="0" w:line="240" w:lineRule="auto"/>
      </w:pPr>
      <w:r>
        <w:separator/>
      </w:r>
    </w:p>
  </w:footnote>
  <w:footnote w:type="continuationSeparator" w:id="0">
    <w:p w14:paraId="70A814C1" w14:textId="77777777" w:rsidR="00270A8E" w:rsidRDefault="00270A8E" w:rsidP="00361CBC">
      <w:pPr>
        <w:spacing w:after="0" w:line="240" w:lineRule="auto"/>
      </w:pPr>
      <w:r>
        <w:continuationSeparator/>
      </w:r>
    </w:p>
  </w:footnote>
  <w:footnote w:id="1">
    <w:p w14:paraId="399B46A8" w14:textId="64AB9502" w:rsidR="00361CBC" w:rsidRPr="00707E5E" w:rsidRDefault="00361CBC" w:rsidP="00707E5E">
      <w:pPr>
        <w:pStyle w:val="Funotentext"/>
        <w:rPr>
          <w:rFonts w:ascii="Times" w:hAnsi="Times" w:cs="Times New Roman"/>
        </w:rPr>
      </w:pPr>
      <w:r w:rsidRPr="00707E5E">
        <w:rPr>
          <w:rStyle w:val="Funotenzeichen"/>
          <w:rFonts w:ascii="Times" w:hAnsi="Times"/>
        </w:rPr>
        <w:footnoteRef/>
      </w:r>
      <w:r w:rsidR="00707E5E" w:rsidRPr="00707E5E">
        <w:rPr>
          <w:rFonts w:ascii="Times" w:hAnsi="Times" w:cs="Times New Roman"/>
        </w:rPr>
        <w:t xml:space="preserve"> Deutsche Übersetzung </w:t>
      </w:r>
      <w:r w:rsidR="00CE1DD6">
        <w:rPr>
          <w:rFonts w:ascii="Times" w:hAnsi="Times" w:cs="Times New Roman"/>
        </w:rPr>
        <w:t xml:space="preserve">von </w:t>
      </w:r>
      <w:r w:rsidR="00772755">
        <w:rPr>
          <w:rFonts w:ascii="Times" w:hAnsi="Times" w:cs="Times New Roman"/>
        </w:rPr>
        <w:t xml:space="preserve">Dr. </w:t>
      </w:r>
      <w:r w:rsidR="00CE1DD6">
        <w:rPr>
          <w:rFonts w:ascii="Times" w:hAnsi="Times" w:cs="Times New Roman"/>
        </w:rPr>
        <w:t xml:space="preserve">Simon </w:t>
      </w:r>
      <w:proofErr w:type="spellStart"/>
      <w:r w:rsidR="00CE1DD6">
        <w:rPr>
          <w:rFonts w:ascii="Times" w:hAnsi="Times" w:cs="Times New Roman"/>
        </w:rPr>
        <w:t>Manner</w:t>
      </w:r>
      <w:proofErr w:type="spellEnd"/>
      <w:r w:rsidR="00CE1DD6">
        <w:rPr>
          <w:rFonts w:ascii="Times" w:hAnsi="Times" w:cs="Times New Roman"/>
        </w:rPr>
        <w:t xml:space="preserve">, </w:t>
      </w:r>
      <w:r w:rsidR="00772755">
        <w:rPr>
          <w:rFonts w:ascii="Times" w:hAnsi="Times" w:cs="Times New Roman"/>
        </w:rPr>
        <w:t xml:space="preserve">Rechtsanwalt in Hamburg, </w:t>
      </w:r>
      <w:proofErr w:type="spellStart"/>
      <w:r w:rsidR="00772755">
        <w:rPr>
          <w:rFonts w:ascii="Times" w:hAnsi="Times" w:cs="Times New Roman"/>
        </w:rPr>
        <w:t>Nordex</w:t>
      </w:r>
      <w:proofErr w:type="spellEnd"/>
      <w:r w:rsidR="00772755">
        <w:rPr>
          <w:rFonts w:ascii="Times" w:hAnsi="Times" w:cs="Times New Roman"/>
        </w:rPr>
        <w:t xml:space="preserve"> SE, und ehemals wissenschaftlicher Assistent von Frau Prof. Dr. Ingeborg </w:t>
      </w:r>
      <w:proofErr w:type="spellStart"/>
      <w:r w:rsidR="00772755">
        <w:rPr>
          <w:rFonts w:ascii="Times" w:hAnsi="Times" w:cs="Times New Roman"/>
        </w:rPr>
        <w:t>Schwenzer</w:t>
      </w:r>
      <w:proofErr w:type="spellEnd"/>
      <w:r w:rsidR="00772755">
        <w:rPr>
          <w:rFonts w:ascii="Times" w:hAnsi="Times" w:cs="Times New Roman"/>
        </w:rPr>
        <w:t>, LL.M. an der Juristischen Fakultät der Universität Basel.</w:t>
      </w:r>
    </w:p>
  </w:footnote>
  <w:footnote w:id="2">
    <w:p w14:paraId="14F26FB4" w14:textId="77777777" w:rsidR="00707E5E" w:rsidRPr="00707E5E" w:rsidRDefault="00707E5E" w:rsidP="00707E5E">
      <w:pPr>
        <w:pStyle w:val="Funotentext"/>
        <w:rPr>
          <w:rFonts w:ascii="Times" w:hAnsi="Times"/>
        </w:rPr>
      </w:pPr>
      <w:r>
        <w:rPr>
          <w:rStyle w:val="Funotenzeichen"/>
          <w:rFonts w:ascii="Times" w:hAnsi="Times"/>
        </w:rPr>
        <w:t>†</w:t>
      </w:r>
      <w:r w:rsidRPr="00707E5E">
        <w:rPr>
          <w:rFonts w:ascii="Times" w:hAnsi="Times"/>
        </w:rPr>
        <w:t xml:space="preserve"> Die deutsche Fassung des Übereinkommens ist gemäß der Unterzeichnungsklausel für die Anwendung des CISG nicht verbindlich. Die deutschsprachigen Staaten (Bundesrepublik, ehemalige DDR, Österreich und die Schweiz) haben auf einer Konferenz im Jahr 1982 eine gemeinsame Übersetzung erarbeitet, so dass in diesen </w:t>
      </w:r>
    </w:p>
    <w:p w14:paraId="33B4099C" w14:textId="45BC320C" w:rsidR="00707E5E" w:rsidRDefault="00707E5E">
      <w:pPr>
        <w:pStyle w:val="Funotentext"/>
      </w:pPr>
      <w:r w:rsidRPr="00707E5E">
        <w:rPr>
          <w:rFonts w:ascii="Times" w:hAnsi="Times"/>
        </w:rPr>
        <w:t>Ländern ein bis auf geringfügige Abweichungen übereinstimmender Te</w:t>
      </w:r>
      <w:r w:rsidR="00772755">
        <w:rPr>
          <w:rFonts w:ascii="Times" w:hAnsi="Times"/>
        </w:rPr>
        <w:t xml:space="preserve">xt gilt. Der Text von Artikel </w:t>
      </w:r>
      <w:r w:rsidR="00772755">
        <w:rPr>
          <w:rFonts w:ascii="Times" w:hAnsi="Times"/>
        </w:rPr>
        <w:t>74</w:t>
      </w:r>
      <w:bookmarkStart w:id="0" w:name="_GoBack"/>
      <w:bookmarkEnd w:id="0"/>
      <w:r w:rsidRPr="00707E5E">
        <w:rPr>
          <w:rFonts w:ascii="Times" w:hAnsi="Times"/>
        </w:rPr>
        <w:t xml:space="preserve"> CISG unterscheidet sich nicht in den verschiedenen amtlichen Fassungen.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2D9C"/>
    <w:multiLevelType w:val="hybridMultilevel"/>
    <w:tmpl w:val="0422D9F6"/>
    <w:lvl w:ilvl="0" w:tplc="FBC0B5B2">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nsid w:val="060B15C7"/>
    <w:multiLevelType w:val="multilevel"/>
    <w:tmpl w:val="67D262B4"/>
    <w:lvl w:ilvl="0">
      <w:start w:val="1"/>
      <w:numFmt w:val="decimal"/>
      <w:lvlText w:val="%1."/>
      <w:lvlJc w:val="left"/>
      <w:pPr>
        <w:ind w:left="720" w:hanging="360"/>
      </w:pPr>
      <w:rPr>
        <w:rFonts w:hint="default"/>
        <w:b/>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nsid w:val="071313C8"/>
    <w:multiLevelType w:val="multilevel"/>
    <w:tmpl w:val="3480A3A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67A787C"/>
    <w:multiLevelType w:val="hybridMultilevel"/>
    <w:tmpl w:val="2FBA67E6"/>
    <w:lvl w:ilvl="0" w:tplc="D122BC52">
      <w:start w:val="1"/>
      <w:numFmt w:val="upperLetter"/>
      <w:lvlText w:val="%14"/>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1CB513FD"/>
    <w:multiLevelType w:val="multilevel"/>
    <w:tmpl w:val="2EAE21B6"/>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nsid w:val="1D9050DE"/>
    <w:multiLevelType w:val="hybridMultilevel"/>
    <w:tmpl w:val="6024D108"/>
    <w:lvl w:ilvl="0" w:tplc="7E2A9DC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44BC2F16"/>
    <w:multiLevelType w:val="hybridMultilevel"/>
    <w:tmpl w:val="D8D4B614"/>
    <w:lvl w:ilvl="0" w:tplc="0407000F">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nsid w:val="512C49DE"/>
    <w:multiLevelType w:val="hybridMultilevel"/>
    <w:tmpl w:val="5066B916"/>
    <w:lvl w:ilvl="0" w:tplc="B2842406">
      <w:start w:val="1"/>
      <w:numFmt w:val="upp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nsid w:val="53425501"/>
    <w:multiLevelType w:val="multilevel"/>
    <w:tmpl w:val="EBF49670"/>
    <w:lvl w:ilvl="0">
      <w:start w:val="2"/>
      <w:numFmt w:val="decimal"/>
      <w:lvlText w:val="%1.1"/>
      <w:lvlJc w:val="center"/>
      <w:pPr>
        <w:ind w:left="720" w:hanging="360"/>
      </w:pPr>
      <w:rPr>
        <w:rFonts w:hint="default"/>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nsid w:val="568E3E6D"/>
    <w:multiLevelType w:val="hybridMultilevel"/>
    <w:tmpl w:val="4F68C3A8"/>
    <w:lvl w:ilvl="0" w:tplc="4614FF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A6645BC"/>
    <w:multiLevelType w:val="hybridMultilevel"/>
    <w:tmpl w:val="0AC6B6DC"/>
    <w:lvl w:ilvl="0" w:tplc="B040FF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4D3309A"/>
    <w:multiLevelType w:val="multilevel"/>
    <w:tmpl w:val="E6784D76"/>
    <w:lvl w:ilvl="0">
      <w:start w:val="2"/>
      <w:numFmt w:val="decimal"/>
      <w:lvlText w:val="%1"/>
      <w:lvlJc w:val="left"/>
      <w:pPr>
        <w:ind w:left="360" w:hanging="360"/>
      </w:pPr>
      <w:rPr>
        <w:rFonts w:hint="default"/>
      </w:rPr>
    </w:lvl>
    <w:lvl w:ilvl="1">
      <w:start w:val="3"/>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67DB123D"/>
    <w:multiLevelType w:val="hybridMultilevel"/>
    <w:tmpl w:val="0DFCDB2E"/>
    <w:lvl w:ilvl="0" w:tplc="1EC036A0">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BF01457"/>
    <w:multiLevelType w:val="hybridMultilevel"/>
    <w:tmpl w:val="5CA6E4C6"/>
    <w:lvl w:ilvl="0" w:tplc="772E8C7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6027829"/>
    <w:multiLevelType w:val="multilevel"/>
    <w:tmpl w:val="30325990"/>
    <w:lvl w:ilvl="0">
      <w:start w:val="1"/>
      <w:numFmt w:val="decimal"/>
      <w:lvlText w:val="%1."/>
      <w:lvlJc w:val="left"/>
      <w:pPr>
        <w:ind w:left="720" w:hanging="360"/>
      </w:pPr>
      <w:rPr>
        <w:rFonts w:hint="default"/>
      </w:rPr>
    </w:lvl>
    <w:lvl w:ilvl="1">
      <w:start w:val="1"/>
      <w:numFmt w:val="decimal"/>
      <w:isLgl/>
      <w:lvlText w:val="%1.%2"/>
      <w:lvlJc w:val="left"/>
      <w:pPr>
        <w:ind w:left="862"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150" w:hanging="108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2794" w:hanging="1440"/>
      </w:pPr>
      <w:rPr>
        <w:rFonts w:hint="default"/>
      </w:rPr>
    </w:lvl>
    <w:lvl w:ilvl="8">
      <w:start w:val="1"/>
      <w:numFmt w:val="decimal"/>
      <w:isLgl/>
      <w:lvlText w:val="%1.%2.%3.%4.%5.%6.%7.%8.%9"/>
      <w:lvlJc w:val="left"/>
      <w:pPr>
        <w:ind w:left="2936" w:hanging="1440"/>
      </w:pPr>
      <w:rPr>
        <w:rFonts w:hint="default"/>
      </w:rPr>
    </w:lvl>
  </w:abstractNum>
  <w:num w:numId="1">
    <w:abstractNumId w:val="1"/>
  </w:num>
  <w:num w:numId="2">
    <w:abstractNumId w:val="8"/>
  </w:num>
  <w:num w:numId="3">
    <w:abstractNumId w:val="4"/>
  </w:num>
  <w:num w:numId="4">
    <w:abstractNumId w:val="11"/>
  </w:num>
  <w:num w:numId="5">
    <w:abstractNumId w:val="2"/>
  </w:num>
  <w:num w:numId="6">
    <w:abstractNumId w:val="14"/>
  </w:num>
  <w:num w:numId="7">
    <w:abstractNumId w:val="6"/>
  </w:num>
  <w:num w:numId="8">
    <w:abstractNumId w:val="13"/>
  </w:num>
  <w:num w:numId="9">
    <w:abstractNumId w:val="10"/>
  </w:num>
  <w:num w:numId="10">
    <w:abstractNumId w:val="9"/>
  </w:num>
  <w:num w:numId="11">
    <w:abstractNumId w:val="5"/>
  </w:num>
  <w:num w:numId="12">
    <w:abstractNumId w:val="12"/>
  </w:num>
  <w:num w:numId="13">
    <w:abstractNumId w:val="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BC"/>
    <w:rsid w:val="0013744F"/>
    <w:rsid w:val="00224834"/>
    <w:rsid w:val="0023089C"/>
    <w:rsid w:val="002657FD"/>
    <w:rsid w:val="00270A8E"/>
    <w:rsid w:val="00317776"/>
    <w:rsid w:val="003514D3"/>
    <w:rsid w:val="00361CBC"/>
    <w:rsid w:val="00377D19"/>
    <w:rsid w:val="005605C4"/>
    <w:rsid w:val="00642A28"/>
    <w:rsid w:val="00707E5E"/>
    <w:rsid w:val="00772755"/>
    <w:rsid w:val="00A41A4E"/>
    <w:rsid w:val="00B37744"/>
    <w:rsid w:val="00CE1DD6"/>
    <w:rsid w:val="00E01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82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1C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361CBC"/>
    <w:pPr>
      <w:spacing w:after="0" w:line="240" w:lineRule="auto"/>
    </w:pPr>
    <w:rPr>
      <w:sz w:val="20"/>
      <w:szCs w:val="20"/>
    </w:rPr>
  </w:style>
  <w:style w:type="character" w:customStyle="1" w:styleId="FunotentextZchn">
    <w:name w:val="Fußnotentext Zchn"/>
    <w:basedOn w:val="Absatz-Standardschriftart"/>
    <w:link w:val="Funotentext"/>
    <w:uiPriority w:val="99"/>
    <w:rsid w:val="00361CBC"/>
    <w:rPr>
      <w:sz w:val="20"/>
      <w:szCs w:val="20"/>
    </w:rPr>
  </w:style>
  <w:style w:type="character" w:styleId="Funotenzeichen">
    <w:name w:val="footnote reference"/>
    <w:basedOn w:val="Absatz-Standardschriftart"/>
    <w:uiPriority w:val="99"/>
    <w:unhideWhenUsed/>
    <w:rsid w:val="00361CBC"/>
    <w:rPr>
      <w:vertAlign w:val="superscript"/>
    </w:rPr>
  </w:style>
  <w:style w:type="paragraph" w:styleId="Listenabsatz">
    <w:name w:val="List Paragraph"/>
    <w:basedOn w:val="Standard"/>
    <w:uiPriority w:val="34"/>
    <w:qFormat/>
    <w:rsid w:val="00361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536081">
      <w:bodyDiv w:val="1"/>
      <w:marLeft w:val="0"/>
      <w:marRight w:val="0"/>
      <w:marTop w:val="0"/>
      <w:marBottom w:val="0"/>
      <w:divBdr>
        <w:top w:val="none" w:sz="0" w:space="0" w:color="auto"/>
        <w:left w:val="none" w:sz="0" w:space="0" w:color="auto"/>
        <w:bottom w:val="none" w:sz="0" w:space="0" w:color="auto"/>
        <w:right w:val="none" w:sz="0" w:space="0" w:color="auto"/>
      </w:divBdr>
      <w:divsChild>
        <w:div w:id="1566455621">
          <w:marLeft w:val="0"/>
          <w:marRight w:val="0"/>
          <w:marTop w:val="0"/>
          <w:marBottom w:val="0"/>
          <w:divBdr>
            <w:top w:val="none" w:sz="0" w:space="0" w:color="auto"/>
            <w:left w:val="none" w:sz="0" w:space="0" w:color="auto"/>
            <w:bottom w:val="none" w:sz="0" w:space="0" w:color="auto"/>
            <w:right w:val="none" w:sz="0" w:space="0" w:color="auto"/>
          </w:divBdr>
        </w:div>
        <w:div w:id="1757895332">
          <w:marLeft w:val="0"/>
          <w:marRight w:val="0"/>
          <w:marTop w:val="0"/>
          <w:marBottom w:val="0"/>
          <w:divBdr>
            <w:top w:val="none" w:sz="0" w:space="0" w:color="auto"/>
            <w:left w:val="none" w:sz="0" w:space="0" w:color="auto"/>
            <w:bottom w:val="none" w:sz="0" w:space="0" w:color="auto"/>
            <w:right w:val="none" w:sz="0" w:space="0" w:color="auto"/>
          </w:divBdr>
        </w:div>
        <w:div w:id="1631202288">
          <w:marLeft w:val="0"/>
          <w:marRight w:val="0"/>
          <w:marTop w:val="0"/>
          <w:marBottom w:val="0"/>
          <w:divBdr>
            <w:top w:val="none" w:sz="0" w:space="0" w:color="auto"/>
            <w:left w:val="none" w:sz="0" w:space="0" w:color="auto"/>
            <w:bottom w:val="none" w:sz="0" w:space="0" w:color="auto"/>
            <w:right w:val="none" w:sz="0" w:space="0" w:color="auto"/>
          </w:divBdr>
        </w:div>
        <w:div w:id="967054852">
          <w:marLeft w:val="0"/>
          <w:marRight w:val="0"/>
          <w:marTop w:val="0"/>
          <w:marBottom w:val="0"/>
          <w:divBdr>
            <w:top w:val="none" w:sz="0" w:space="0" w:color="auto"/>
            <w:left w:val="none" w:sz="0" w:space="0" w:color="auto"/>
            <w:bottom w:val="none" w:sz="0" w:space="0" w:color="auto"/>
            <w:right w:val="none" w:sz="0" w:space="0" w:color="auto"/>
          </w:divBdr>
        </w:div>
      </w:divsChild>
    </w:div>
    <w:div w:id="693195561">
      <w:bodyDiv w:val="1"/>
      <w:marLeft w:val="0"/>
      <w:marRight w:val="0"/>
      <w:marTop w:val="0"/>
      <w:marBottom w:val="0"/>
      <w:divBdr>
        <w:top w:val="none" w:sz="0" w:space="0" w:color="auto"/>
        <w:left w:val="none" w:sz="0" w:space="0" w:color="auto"/>
        <w:bottom w:val="none" w:sz="0" w:space="0" w:color="auto"/>
        <w:right w:val="none" w:sz="0" w:space="0" w:color="auto"/>
      </w:divBdr>
      <w:divsChild>
        <w:div w:id="2007122155">
          <w:marLeft w:val="0"/>
          <w:marRight w:val="0"/>
          <w:marTop w:val="0"/>
          <w:marBottom w:val="0"/>
          <w:divBdr>
            <w:top w:val="none" w:sz="0" w:space="0" w:color="auto"/>
            <w:left w:val="none" w:sz="0" w:space="0" w:color="auto"/>
            <w:bottom w:val="none" w:sz="0" w:space="0" w:color="auto"/>
            <w:right w:val="none" w:sz="0" w:space="0" w:color="auto"/>
          </w:divBdr>
        </w:div>
        <w:div w:id="209270993">
          <w:marLeft w:val="0"/>
          <w:marRight w:val="0"/>
          <w:marTop w:val="0"/>
          <w:marBottom w:val="0"/>
          <w:divBdr>
            <w:top w:val="none" w:sz="0" w:space="0" w:color="auto"/>
            <w:left w:val="none" w:sz="0" w:space="0" w:color="auto"/>
            <w:bottom w:val="none" w:sz="0" w:space="0" w:color="auto"/>
            <w:right w:val="none" w:sz="0" w:space="0" w:color="auto"/>
          </w:divBdr>
        </w:div>
        <w:div w:id="1396974899">
          <w:marLeft w:val="0"/>
          <w:marRight w:val="0"/>
          <w:marTop w:val="0"/>
          <w:marBottom w:val="0"/>
          <w:divBdr>
            <w:top w:val="none" w:sz="0" w:space="0" w:color="auto"/>
            <w:left w:val="none" w:sz="0" w:space="0" w:color="auto"/>
            <w:bottom w:val="none" w:sz="0" w:space="0" w:color="auto"/>
            <w:right w:val="none" w:sz="0" w:space="0" w:color="auto"/>
          </w:divBdr>
        </w:div>
        <w:div w:id="752168615">
          <w:marLeft w:val="0"/>
          <w:marRight w:val="0"/>
          <w:marTop w:val="0"/>
          <w:marBottom w:val="0"/>
          <w:divBdr>
            <w:top w:val="none" w:sz="0" w:space="0" w:color="auto"/>
            <w:left w:val="none" w:sz="0" w:space="0" w:color="auto"/>
            <w:bottom w:val="none" w:sz="0" w:space="0" w:color="auto"/>
            <w:right w:val="none" w:sz="0" w:space="0" w:color="auto"/>
          </w:divBdr>
        </w:div>
        <w:div w:id="1376856763">
          <w:marLeft w:val="0"/>
          <w:marRight w:val="0"/>
          <w:marTop w:val="0"/>
          <w:marBottom w:val="0"/>
          <w:divBdr>
            <w:top w:val="none" w:sz="0" w:space="0" w:color="auto"/>
            <w:left w:val="none" w:sz="0" w:space="0" w:color="auto"/>
            <w:bottom w:val="none" w:sz="0" w:space="0" w:color="auto"/>
            <w:right w:val="none" w:sz="0" w:space="0" w:color="auto"/>
          </w:divBdr>
        </w:div>
        <w:div w:id="1847861418">
          <w:marLeft w:val="0"/>
          <w:marRight w:val="0"/>
          <w:marTop w:val="0"/>
          <w:marBottom w:val="0"/>
          <w:divBdr>
            <w:top w:val="none" w:sz="0" w:space="0" w:color="auto"/>
            <w:left w:val="none" w:sz="0" w:space="0" w:color="auto"/>
            <w:bottom w:val="none" w:sz="0" w:space="0" w:color="auto"/>
            <w:right w:val="none" w:sz="0" w:space="0" w:color="auto"/>
          </w:divBdr>
        </w:div>
        <w:div w:id="729306154">
          <w:marLeft w:val="0"/>
          <w:marRight w:val="0"/>
          <w:marTop w:val="0"/>
          <w:marBottom w:val="0"/>
          <w:divBdr>
            <w:top w:val="none" w:sz="0" w:space="0" w:color="auto"/>
            <w:left w:val="none" w:sz="0" w:space="0" w:color="auto"/>
            <w:bottom w:val="none" w:sz="0" w:space="0" w:color="auto"/>
            <w:right w:val="none" w:sz="0" w:space="0" w:color="auto"/>
          </w:divBdr>
        </w:div>
        <w:div w:id="1844389472">
          <w:marLeft w:val="0"/>
          <w:marRight w:val="0"/>
          <w:marTop w:val="0"/>
          <w:marBottom w:val="0"/>
          <w:divBdr>
            <w:top w:val="none" w:sz="0" w:space="0" w:color="auto"/>
            <w:left w:val="none" w:sz="0" w:space="0" w:color="auto"/>
            <w:bottom w:val="none" w:sz="0" w:space="0" w:color="auto"/>
            <w:right w:val="none" w:sz="0" w:space="0" w:color="auto"/>
          </w:divBdr>
        </w:div>
        <w:div w:id="1358703848">
          <w:marLeft w:val="0"/>
          <w:marRight w:val="0"/>
          <w:marTop w:val="0"/>
          <w:marBottom w:val="0"/>
          <w:divBdr>
            <w:top w:val="none" w:sz="0" w:space="0" w:color="auto"/>
            <w:left w:val="none" w:sz="0" w:space="0" w:color="auto"/>
            <w:bottom w:val="none" w:sz="0" w:space="0" w:color="auto"/>
            <w:right w:val="none" w:sz="0" w:space="0" w:color="auto"/>
          </w:divBdr>
        </w:div>
        <w:div w:id="1625962397">
          <w:marLeft w:val="0"/>
          <w:marRight w:val="0"/>
          <w:marTop w:val="0"/>
          <w:marBottom w:val="0"/>
          <w:divBdr>
            <w:top w:val="none" w:sz="0" w:space="0" w:color="auto"/>
            <w:left w:val="none" w:sz="0" w:space="0" w:color="auto"/>
            <w:bottom w:val="none" w:sz="0" w:space="0" w:color="auto"/>
            <w:right w:val="none" w:sz="0" w:space="0" w:color="auto"/>
          </w:divBdr>
        </w:div>
        <w:div w:id="137919897">
          <w:marLeft w:val="0"/>
          <w:marRight w:val="0"/>
          <w:marTop w:val="0"/>
          <w:marBottom w:val="0"/>
          <w:divBdr>
            <w:top w:val="none" w:sz="0" w:space="0" w:color="auto"/>
            <w:left w:val="none" w:sz="0" w:space="0" w:color="auto"/>
            <w:bottom w:val="none" w:sz="0" w:space="0" w:color="auto"/>
            <w:right w:val="none" w:sz="0" w:space="0" w:color="auto"/>
          </w:divBdr>
        </w:div>
        <w:div w:id="325859183">
          <w:marLeft w:val="0"/>
          <w:marRight w:val="0"/>
          <w:marTop w:val="0"/>
          <w:marBottom w:val="0"/>
          <w:divBdr>
            <w:top w:val="none" w:sz="0" w:space="0" w:color="auto"/>
            <w:left w:val="none" w:sz="0" w:space="0" w:color="auto"/>
            <w:bottom w:val="none" w:sz="0" w:space="0" w:color="auto"/>
            <w:right w:val="none" w:sz="0" w:space="0" w:color="auto"/>
          </w:divBdr>
        </w:div>
        <w:div w:id="1091926686">
          <w:marLeft w:val="0"/>
          <w:marRight w:val="0"/>
          <w:marTop w:val="0"/>
          <w:marBottom w:val="0"/>
          <w:divBdr>
            <w:top w:val="none" w:sz="0" w:space="0" w:color="auto"/>
            <w:left w:val="none" w:sz="0" w:space="0" w:color="auto"/>
            <w:bottom w:val="none" w:sz="0" w:space="0" w:color="auto"/>
            <w:right w:val="none" w:sz="0" w:space="0" w:color="auto"/>
          </w:divBdr>
        </w:div>
        <w:div w:id="1050150777">
          <w:marLeft w:val="0"/>
          <w:marRight w:val="0"/>
          <w:marTop w:val="0"/>
          <w:marBottom w:val="0"/>
          <w:divBdr>
            <w:top w:val="none" w:sz="0" w:space="0" w:color="auto"/>
            <w:left w:val="none" w:sz="0" w:space="0" w:color="auto"/>
            <w:bottom w:val="none" w:sz="0" w:space="0" w:color="auto"/>
            <w:right w:val="none" w:sz="0" w:space="0" w:color="auto"/>
          </w:divBdr>
        </w:div>
      </w:divsChild>
    </w:div>
    <w:div w:id="980043066">
      <w:bodyDiv w:val="1"/>
      <w:marLeft w:val="0"/>
      <w:marRight w:val="0"/>
      <w:marTop w:val="0"/>
      <w:marBottom w:val="0"/>
      <w:divBdr>
        <w:top w:val="none" w:sz="0" w:space="0" w:color="auto"/>
        <w:left w:val="none" w:sz="0" w:space="0" w:color="auto"/>
        <w:bottom w:val="none" w:sz="0" w:space="0" w:color="auto"/>
        <w:right w:val="none" w:sz="0" w:space="0" w:color="auto"/>
      </w:divBdr>
      <w:divsChild>
        <w:div w:id="903025076">
          <w:marLeft w:val="0"/>
          <w:marRight w:val="0"/>
          <w:marTop w:val="0"/>
          <w:marBottom w:val="0"/>
          <w:divBdr>
            <w:top w:val="none" w:sz="0" w:space="0" w:color="auto"/>
            <w:left w:val="none" w:sz="0" w:space="0" w:color="auto"/>
            <w:bottom w:val="none" w:sz="0" w:space="0" w:color="auto"/>
            <w:right w:val="none" w:sz="0" w:space="0" w:color="auto"/>
          </w:divBdr>
        </w:div>
        <w:div w:id="611473385">
          <w:marLeft w:val="0"/>
          <w:marRight w:val="0"/>
          <w:marTop w:val="0"/>
          <w:marBottom w:val="0"/>
          <w:divBdr>
            <w:top w:val="none" w:sz="0" w:space="0" w:color="auto"/>
            <w:left w:val="none" w:sz="0" w:space="0" w:color="auto"/>
            <w:bottom w:val="none" w:sz="0" w:space="0" w:color="auto"/>
            <w:right w:val="none" w:sz="0" w:space="0" w:color="auto"/>
          </w:divBdr>
        </w:div>
        <w:div w:id="983631060">
          <w:marLeft w:val="0"/>
          <w:marRight w:val="0"/>
          <w:marTop w:val="0"/>
          <w:marBottom w:val="0"/>
          <w:divBdr>
            <w:top w:val="none" w:sz="0" w:space="0" w:color="auto"/>
            <w:left w:val="none" w:sz="0" w:space="0" w:color="auto"/>
            <w:bottom w:val="none" w:sz="0" w:space="0" w:color="auto"/>
            <w:right w:val="none" w:sz="0" w:space="0" w:color="auto"/>
          </w:divBdr>
        </w:div>
        <w:div w:id="1325084414">
          <w:marLeft w:val="0"/>
          <w:marRight w:val="0"/>
          <w:marTop w:val="0"/>
          <w:marBottom w:val="0"/>
          <w:divBdr>
            <w:top w:val="none" w:sz="0" w:space="0" w:color="auto"/>
            <w:left w:val="none" w:sz="0" w:space="0" w:color="auto"/>
            <w:bottom w:val="none" w:sz="0" w:space="0" w:color="auto"/>
            <w:right w:val="none" w:sz="0" w:space="0" w:color="auto"/>
          </w:divBdr>
        </w:div>
        <w:div w:id="1478303392">
          <w:marLeft w:val="0"/>
          <w:marRight w:val="0"/>
          <w:marTop w:val="0"/>
          <w:marBottom w:val="0"/>
          <w:divBdr>
            <w:top w:val="none" w:sz="0" w:space="0" w:color="auto"/>
            <w:left w:val="none" w:sz="0" w:space="0" w:color="auto"/>
            <w:bottom w:val="none" w:sz="0" w:space="0" w:color="auto"/>
            <w:right w:val="none" w:sz="0" w:space="0" w:color="auto"/>
          </w:divBdr>
        </w:div>
        <w:div w:id="1640840352">
          <w:marLeft w:val="0"/>
          <w:marRight w:val="0"/>
          <w:marTop w:val="0"/>
          <w:marBottom w:val="0"/>
          <w:divBdr>
            <w:top w:val="none" w:sz="0" w:space="0" w:color="auto"/>
            <w:left w:val="none" w:sz="0" w:space="0" w:color="auto"/>
            <w:bottom w:val="none" w:sz="0" w:space="0" w:color="auto"/>
            <w:right w:val="none" w:sz="0" w:space="0" w:color="auto"/>
          </w:divBdr>
        </w:div>
        <w:div w:id="1353143055">
          <w:marLeft w:val="0"/>
          <w:marRight w:val="0"/>
          <w:marTop w:val="0"/>
          <w:marBottom w:val="0"/>
          <w:divBdr>
            <w:top w:val="none" w:sz="0" w:space="0" w:color="auto"/>
            <w:left w:val="none" w:sz="0" w:space="0" w:color="auto"/>
            <w:bottom w:val="none" w:sz="0" w:space="0" w:color="auto"/>
            <w:right w:val="none" w:sz="0" w:space="0" w:color="auto"/>
          </w:divBdr>
        </w:div>
        <w:div w:id="1978296098">
          <w:marLeft w:val="0"/>
          <w:marRight w:val="0"/>
          <w:marTop w:val="0"/>
          <w:marBottom w:val="0"/>
          <w:divBdr>
            <w:top w:val="none" w:sz="0" w:space="0" w:color="auto"/>
            <w:left w:val="none" w:sz="0" w:space="0" w:color="auto"/>
            <w:bottom w:val="none" w:sz="0" w:space="0" w:color="auto"/>
            <w:right w:val="none" w:sz="0" w:space="0" w:color="auto"/>
          </w:divBdr>
        </w:div>
        <w:div w:id="945843168">
          <w:marLeft w:val="0"/>
          <w:marRight w:val="0"/>
          <w:marTop w:val="0"/>
          <w:marBottom w:val="0"/>
          <w:divBdr>
            <w:top w:val="none" w:sz="0" w:space="0" w:color="auto"/>
            <w:left w:val="none" w:sz="0" w:space="0" w:color="auto"/>
            <w:bottom w:val="none" w:sz="0" w:space="0" w:color="auto"/>
            <w:right w:val="none" w:sz="0" w:space="0" w:color="auto"/>
          </w:divBdr>
        </w:div>
        <w:div w:id="502167120">
          <w:marLeft w:val="0"/>
          <w:marRight w:val="0"/>
          <w:marTop w:val="0"/>
          <w:marBottom w:val="0"/>
          <w:divBdr>
            <w:top w:val="none" w:sz="0" w:space="0" w:color="auto"/>
            <w:left w:val="none" w:sz="0" w:space="0" w:color="auto"/>
            <w:bottom w:val="none" w:sz="0" w:space="0" w:color="auto"/>
            <w:right w:val="none" w:sz="0" w:space="0" w:color="auto"/>
          </w:divBdr>
        </w:div>
        <w:div w:id="176893790">
          <w:marLeft w:val="0"/>
          <w:marRight w:val="0"/>
          <w:marTop w:val="0"/>
          <w:marBottom w:val="0"/>
          <w:divBdr>
            <w:top w:val="none" w:sz="0" w:space="0" w:color="auto"/>
            <w:left w:val="none" w:sz="0" w:space="0" w:color="auto"/>
            <w:bottom w:val="none" w:sz="0" w:space="0" w:color="auto"/>
            <w:right w:val="none" w:sz="0" w:space="0" w:color="auto"/>
          </w:divBdr>
        </w:div>
        <w:div w:id="1266885470">
          <w:marLeft w:val="0"/>
          <w:marRight w:val="0"/>
          <w:marTop w:val="0"/>
          <w:marBottom w:val="0"/>
          <w:divBdr>
            <w:top w:val="none" w:sz="0" w:space="0" w:color="auto"/>
            <w:left w:val="none" w:sz="0" w:space="0" w:color="auto"/>
            <w:bottom w:val="none" w:sz="0" w:space="0" w:color="auto"/>
            <w:right w:val="none" w:sz="0" w:space="0" w:color="auto"/>
          </w:divBdr>
        </w:div>
        <w:div w:id="1353875433">
          <w:marLeft w:val="0"/>
          <w:marRight w:val="0"/>
          <w:marTop w:val="0"/>
          <w:marBottom w:val="0"/>
          <w:divBdr>
            <w:top w:val="none" w:sz="0" w:space="0" w:color="auto"/>
            <w:left w:val="none" w:sz="0" w:space="0" w:color="auto"/>
            <w:bottom w:val="none" w:sz="0" w:space="0" w:color="auto"/>
            <w:right w:val="none" w:sz="0" w:space="0" w:color="auto"/>
          </w:divBdr>
        </w:div>
        <w:div w:id="1000156831">
          <w:marLeft w:val="0"/>
          <w:marRight w:val="0"/>
          <w:marTop w:val="0"/>
          <w:marBottom w:val="0"/>
          <w:divBdr>
            <w:top w:val="none" w:sz="0" w:space="0" w:color="auto"/>
            <w:left w:val="none" w:sz="0" w:space="0" w:color="auto"/>
            <w:bottom w:val="none" w:sz="0" w:space="0" w:color="auto"/>
            <w:right w:val="none" w:sz="0" w:space="0" w:color="auto"/>
          </w:divBdr>
        </w:div>
        <w:div w:id="240719281">
          <w:marLeft w:val="0"/>
          <w:marRight w:val="0"/>
          <w:marTop w:val="0"/>
          <w:marBottom w:val="0"/>
          <w:divBdr>
            <w:top w:val="none" w:sz="0" w:space="0" w:color="auto"/>
            <w:left w:val="none" w:sz="0" w:space="0" w:color="auto"/>
            <w:bottom w:val="none" w:sz="0" w:space="0" w:color="auto"/>
            <w:right w:val="none" w:sz="0" w:space="0" w:color="auto"/>
          </w:divBdr>
        </w:div>
      </w:divsChild>
    </w:div>
    <w:div w:id="1144005208">
      <w:bodyDiv w:val="1"/>
      <w:marLeft w:val="0"/>
      <w:marRight w:val="0"/>
      <w:marTop w:val="0"/>
      <w:marBottom w:val="0"/>
      <w:divBdr>
        <w:top w:val="none" w:sz="0" w:space="0" w:color="auto"/>
        <w:left w:val="none" w:sz="0" w:space="0" w:color="auto"/>
        <w:bottom w:val="none" w:sz="0" w:space="0" w:color="auto"/>
        <w:right w:val="none" w:sz="0" w:space="0" w:color="auto"/>
      </w:divBdr>
      <w:divsChild>
        <w:div w:id="1106536468">
          <w:marLeft w:val="0"/>
          <w:marRight w:val="0"/>
          <w:marTop w:val="0"/>
          <w:marBottom w:val="0"/>
          <w:divBdr>
            <w:top w:val="none" w:sz="0" w:space="0" w:color="auto"/>
            <w:left w:val="none" w:sz="0" w:space="0" w:color="auto"/>
            <w:bottom w:val="none" w:sz="0" w:space="0" w:color="auto"/>
            <w:right w:val="none" w:sz="0" w:space="0" w:color="auto"/>
          </w:divBdr>
        </w:div>
        <w:div w:id="1591769488">
          <w:marLeft w:val="0"/>
          <w:marRight w:val="0"/>
          <w:marTop w:val="0"/>
          <w:marBottom w:val="0"/>
          <w:divBdr>
            <w:top w:val="none" w:sz="0" w:space="0" w:color="auto"/>
            <w:left w:val="none" w:sz="0" w:space="0" w:color="auto"/>
            <w:bottom w:val="none" w:sz="0" w:space="0" w:color="auto"/>
            <w:right w:val="none" w:sz="0" w:space="0" w:color="auto"/>
          </w:divBdr>
        </w:div>
        <w:div w:id="741295161">
          <w:marLeft w:val="0"/>
          <w:marRight w:val="0"/>
          <w:marTop w:val="0"/>
          <w:marBottom w:val="0"/>
          <w:divBdr>
            <w:top w:val="none" w:sz="0" w:space="0" w:color="auto"/>
            <w:left w:val="none" w:sz="0" w:space="0" w:color="auto"/>
            <w:bottom w:val="none" w:sz="0" w:space="0" w:color="auto"/>
            <w:right w:val="none" w:sz="0" w:space="0" w:color="auto"/>
          </w:divBdr>
        </w:div>
        <w:div w:id="1593661344">
          <w:marLeft w:val="0"/>
          <w:marRight w:val="0"/>
          <w:marTop w:val="0"/>
          <w:marBottom w:val="0"/>
          <w:divBdr>
            <w:top w:val="none" w:sz="0" w:space="0" w:color="auto"/>
            <w:left w:val="none" w:sz="0" w:space="0" w:color="auto"/>
            <w:bottom w:val="none" w:sz="0" w:space="0" w:color="auto"/>
            <w:right w:val="none" w:sz="0" w:space="0" w:color="auto"/>
          </w:divBdr>
        </w:div>
        <w:div w:id="885875366">
          <w:marLeft w:val="0"/>
          <w:marRight w:val="0"/>
          <w:marTop w:val="0"/>
          <w:marBottom w:val="0"/>
          <w:divBdr>
            <w:top w:val="none" w:sz="0" w:space="0" w:color="auto"/>
            <w:left w:val="none" w:sz="0" w:space="0" w:color="auto"/>
            <w:bottom w:val="none" w:sz="0" w:space="0" w:color="auto"/>
            <w:right w:val="none" w:sz="0" w:space="0" w:color="auto"/>
          </w:divBdr>
        </w:div>
        <w:div w:id="660229843">
          <w:marLeft w:val="0"/>
          <w:marRight w:val="0"/>
          <w:marTop w:val="0"/>
          <w:marBottom w:val="0"/>
          <w:divBdr>
            <w:top w:val="none" w:sz="0" w:space="0" w:color="auto"/>
            <w:left w:val="none" w:sz="0" w:space="0" w:color="auto"/>
            <w:bottom w:val="none" w:sz="0" w:space="0" w:color="auto"/>
            <w:right w:val="none" w:sz="0" w:space="0" w:color="auto"/>
          </w:divBdr>
        </w:div>
        <w:div w:id="607086277">
          <w:marLeft w:val="0"/>
          <w:marRight w:val="0"/>
          <w:marTop w:val="0"/>
          <w:marBottom w:val="0"/>
          <w:divBdr>
            <w:top w:val="none" w:sz="0" w:space="0" w:color="auto"/>
            <w:left w:val="none" w:sz="0" w:space="0" w:color="auto"/>
            <w:bottom w:val="none" w:sz="0" w:space="0" w:color="auto"/>
            <w:right w:val="none" w:sz="0" w:space="0" w:color="auto"/>
          </w:divBdr>
        </w:div>
        <w:div w:id="837309737">
          <w:marLeft w:val="0"/>
          <w:marRight w:val="0"/>
          <w:marTop w:val="0"/>
          <w:marBottom w:val="0"/>
          <w:divBdr>
            <w:top w:val="none" w:sz="0" w:space="0" w:color="auto"/>
            <w:left w:val="none" w:sz="0" w:space="0" w:color="auto"/>
            <w:bottom w:val="none" w:sz="0" w:space="0" w:color="auto"/>
            <w:right w:val="none" w:sz="0" w:space="0" w:color="auto"/>
          </w:divBdr>
        </w:div>
        <w:div w:id="625357398">
          <w:marLeft w:val="0"/>
          <w:marRight w:val="0"/>
          <w:marTop w:val="0"/>
          <w:marBottom w:val="0"/>
          <w:divBdr>
            <w:top w:val="none" w:sz="0" w:space="0" w:color="auto"/>
            <w:left w:val="none" w:sz="0" w:space="0" w:color="auto"/>
            <w:bottom w:val="none" w:sz="0" w:space="0" w:color="auto"/>
            <w:right w:val="none" w:sz="0" w:space="0" w:color="auto"/>
          </w:divBdr>
        </w:div>
        <w:div w:id="513149320">
          <w:marLeft w:val="0"/>
          <w:marRight w:val="0"/>
          <w:marTop w:val="0"/>
          <w:marBottom w:val="0"/>
          <w:divBdr>
            <w:top w:val="none" w:sz="0" w:space="0" w:color="auto"/>
            <w:left w:val="none" w:sz="0" w:space="0" w:color="auto"/>
            <w:bottom w:val="none" w:sz="0" w:space="0" w:color="auto"/>
            <w:right w:val="none" w:sz="0" w:space="0" w:color="auto"/>
          </w:divBdr>
        </w:div>
        <w:div w:id="587807818">
          <w:marLeft w:val="0"/>
          <w:marRight w:val="0"/>
          <w:marTop w:val="0"/>
          <w:marBottom w:val="0"/>
          <w:divBdr>
            <w:top w:val="none" w:sz="0" w:space="0" w:color="auto"/>
            <w:left w:val="none" w:sz="0" w:space="0" w:color="auto"/>
            <w:bottom w:val="none" w:sz="0" w:space="0" w:color="auto"/>
            <w:right w:val="none" w:sz="0" w:space="0" w:color="auto"/>
          </w:divBdr>
        </w:div>
        <w:div w:id="1968582717">
          <w:marLeft w:val="0"/>
          <w:marRight w:val="0"/>
          <w:marTop w:val="0"/>
          <w:marBottom w:val="0"/>
          <w:divBdr>
            <w:top w:val="none" w:sz="0" w:space="0" w:color="auto"/>
            <w:left w:val="none" w:sz="0" w:space="0" w:color="auto"/>
            <w:bottom w:val="none" w:sz="0" w:space="0" w:color="auto"/>
            <w:right w:val="none" w:sz="0" w:space="0" w:color="auto"/>
          </w:divBdr>
        </w:div>
        <w:div w:id="760833592">
          <w:marLeft w:val="0"/>
          <w:marRight w:val="0"/>
          <w:marTop w:val="0"/>
          <w:marBottom w:val="0"/>
          <w:divBdr>
            <w:top w:val="none" w:sz="0" w:space="0" w:color="auto"/>
            <w:left w:val="none" w:sz="0" w:space="0" w:color="auto"/>
            <w:bottom w:val="none" w:sz="0" w:space="0" w:color="auto"/>
            <w:right w:val="none" w:sz="0" w:space="0" w:color="auto"/>
          </w:divBdr>
        </w:div>
        <w:div w:id="167016541">
          <w:marLeft w:val="0"/>
          <w:marRight w:val="0"/>
          <w:marTop w:val="0"/>
          <w:marBottom w:val="0"/>
          <w:divBdr>
            <w:top w:val="none" w:sz="0" w:space="0" w:color="auto"/>
            <w:left w:val="none" w:sz="0" w:space="0" w:color="auto"/>
            <w:bottom w:val="none" w:sz="0" w:space="0" w:color="auto"/>
            <w:right w:val="none" w:sz="0" w:space="0" w:color="auto"/>
          </w:divBdr>
        </w:div>
      </w:divsChild>
    </w:div>
    <w:div w:id="1678265580">
      <w:bodyDiv w:val="1"/>
      <w:marLeft w:val="0"/>
      <w:marRight w:val="0"/>
      <w:marTop w:val="0"/>
      <w:marBottom w:val="0"/>
      <w:divBdr>
        <w:top w:val="none" w:sz="0" w:space="0" w:color="auto"/>
        <w:left w:val="none" w:sz="0" w:space="0" w:color="auto"/>
        <w:bottom w:val="none" w:sz="0" w:space="0" w:color="auto"/>
        <w:right w:val="none" w:sz="0" w:space="0" w:color="auto"/>
      </w:divBdr>
      <w:divsChild>
        <w:div w:id="869100818">
          <w:marLeft w:val="0"/>
          <w:marRight w:val="0"/>
          <w:marTop w:val="0"/>
          <w:marBottom w:val="0"/>
          <w:divBdr>
            <w:top w:val="none" w:sz="0" w:space="0" w:color="auto"/>
            <w:left w:val="none" w:sz="0" w:space="0" w:color="auto"/>
            <w:bottom w:val="none" w:sz="0" w:space="0" w:color="auto"/>
            <w:right w:val="none" w:sz="0" w:space="0" w:color="auto"/>
          </w:divBdr>
        </w:div>
        <w:div w:id="3020102">
          <w:marLeft w:val="0"/>
          <w:marRight w:val="0"/>
          <w:marTop w:val="0"/>
          <w:marBottom w:val="0"/>
          <w:divBdr>
            <w:top w:val="none" w:sz="0" w:space="0" w:color="auto"/>
            <w:left w:val="none" w:sz="0" w:space="0" w:color="auto"/>
            <w:bottom w:val="none" w:sz="0" w:space="0" w:color="auto"/>
            <w:right w:val="none" w:sz="0" w:space="0" w:color="auto"/>
          </w:divBdr>
        </w:div>
        <w:div w:id="900016224">
          <w:marLeft w:val="0"/>
          <w:marRight w:val="0"/>
          <w:marTop w:val="0"/>
          <w:marBottom w:val="0"/>
          <w:divBdr>
            <w:top w:val="none" w:sz="0" w:space="0" w:color="auto"/>
            <w:left w:val="none" w:sz="0" w:space="0" w:color="auto"/>
            <w:bottom w:val="none" w:sz="0" w:space="0" w:color="auto"/>
            <w:right w:val="none" w:sz="0" w:space="0" w:color="auto"/>
          </w:divBdr>
        </w:div>
        <w:div w:id="192307293">
          <w:marLeft w:val="0"/>
          <w:marRight w:val="0"/>
          <w:marTop w:val="0"/>
          <w:marBottom w:val="0"/>
          <w:divBdr>
            <w:top w:val="none" w:sz="0" w:space="0" w:color="auto"/>
            <w:left w:val="none" w:sz="0" w:space="0" w:color="auto"/>
            <w:bottom w:val="none" w:sz="0" w:space="0" w:color="auto"/>
            <w:right w:val="none" w:sz="0" w:space="0" w:color="auto"/>
          </w:divBdr>
        </w:div>
      </w:divsChild>
    </w:div>
    <w:div w:id="1876503164">
      <w:bodyDiv w:val="1"/>
      <w:marLeft w:val="0"/>
      <w:marRight w:val="0"/>
      <w:marTop w:val="0"/>
      <w:marBottom w:val="0"/>
      <w:divBdr>
        <w:top w:val="none" w:sz="0" w:space="0" w:color="auto"/>
        <w:left w:val="none" w:sz="0" w:space="0" w:color="auto"/>
        <w:bottom w:val="none" w:sz="0" w:space="0" w:color="auto"/>
        <w:right w:val="none" w:sz="0" w:space="0" w:color="auto"/>
      </w:divBdr>
      <w:divsChild>
        <w:div w:id="1976907685">
          <w:marLeft w:val="0"/>
          <w:marRight w:val="0"/>
          <w:marTop w:val="0"/>
          <w:marBottom w:val="0"/>
          <w:divBdr>
            <w:top w:val="none" w:sz="0" w:space="0" w:color="auto"/>
            <w:left w:val="none" w:sz="0" w:space="0" w:color="auto"/>
            <w:bottom w:val="none" w:sz="0" w:space="0" w:color="auto"/>
            <w:right w:val="none" w:sz="0" w:space="0" w:color="auto"/>
          </w:divBdr>
        </w:div>
        <w:div w:id="996420351">
          <w:marLeft w:val="0"/>
          <w:marRight w:val="0"/>
          <w:marTop w:val="0"/>
          <w:marBottom w:val="0"/>
          <w:divBdr>
            <w:top w:val="none" w:sz="0" w:space="0" w:color="auto"/>
            <w:left w:val="none" w:sz="0" w:space="0" w:color="auto"/>
            <w:bottom w:val="none" w:sz="0" w:space="0" w:color="auto"/>
            <w:right w:val="none" w:sz="0" w:space="0" w:color="auto"/>
          </w:divBdr>
        </w:div>
        <w:div w:id="2068914540">
          <w:marLeft w:val="0"/>
          <w:marRight w:val="0"/>
          <w:marTop w:val="0"/>
          <w:marBottom w:val="0"/>
          <w:divBdr>
            <w:top w:val="none" w:sz="0" w:space="0" w:color="auto"/>
            <w:left w:val="none" w:sz="0" w:space="0" w:color="auto"/>
            <w:bottom w:val="none" w:sz="0" w:space="0" w:color="auto"/>
            <w:right w:val="none" w:sz="0" w:space="0" w:color="auto"/>
          </w:divBdr>
        </w:div>
        <w:div w:id="1202746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693571-DA3C-EC46-9C86-BC2BC867E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2842</Characters>
  <Application>Microsoft Macintosh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Universität Freiburg</Company>
  <LinksUpToDate>false</LinksUpToDate>
  <CharactersWithSpaces>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 Beimel</dc:creator>
  <cp:lastModifiedBy>Ilka Beimel</cp:lastModifiedBy>
  <cp:revision>3</cp:revision>
  <dcterms:created xsi:type="dcterms:W3CDTF">2016-09-12T20:56:00Z</dcterms:created>
  <dcterms:modified xsi:type="dcterms:W3CDTF">2016-09-12T21:07:00Z</dcterms:modified>
</cp:coreProperties>
</file>